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1" w:line="219" w:lineRule="auto"/>
        <w:jc w:val="center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color w:val="F91A21"/>
          <w:spacing w:val="-80"/>
          <w:w w:val="59"/>
          <w:sz w:val="148"/>
          <w:szCs w:val="148"/>
        </w:rPr>
        <w:t>贵州省社会科学院文件</w:t>
      </w:r>
    </w:p>
    <w:p>
      <w:pPr>
        <w:spacing w:line="265" w:lineRule="auto"/>
        <w:jc w:val="both"/>
        <w:rPr>
          <w:rFonts w:ascii="Arial"/>
          <w:sz w:val="21"/>
        </w:rPr>
      </w:pPr>
    </w:p>
    <w:p>
      <w:pPr>
        <w:spacing w:before="107" w:line="222" w:lineRule="auto"/>
        <w:ind w:left="289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省社科字〔2023〕31号</w:t>
      </w:r>
    </w:p>
    <w:p>
      <w:pPr>
        <w:spacing w:before="11" w:line="60" w:lineRule="exact"/>
        <w:textAlignment w:val="center"/>
      </w:pPr>
      <w:r>
        <w:drawing>
          <wp:inline distT="0" distB="0" distL="0" distR="0">
            <wp:extent cx="5581650" cy="38100"/>
            <wp:effectExtent l="0" t="0" r="15240" b="1143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77" cy="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46" w:line="219" w:lineRule="auto"/>
        <w:ind w:left="26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贵州省社会科学院</w:t>
      </w:r>
    </w:p>
    <w:p>
      <w:pPr>
        <w:spacing w:before="16" w:line="219" w:lineRule="auto"/>
        <w:ind w:left="6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关于申报学习贯彻省委十三届三次全会</w:t>
      </w:r>
    </w:p>
    <w:p>
      <w:pPr>
        <w:spacing w:before="16" w:line="219" w:lineRule="auto"/>
        <w:ind w:left="6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6"/>
          <w:sz w:val="45"/>
          <w:szCs w:val="45"/>
        </w:rPr>
        <w:t>精神暨“中国式现代化贵州实践研究”</w:t>
      </w:r>
    </w:p>
    <w:p>
      <w:pPr>
        <w:spacing w:before="20" w:line="220" w:lineRule="auto"/>
        <w:ind w:left="28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专项课题的通知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207" w:line="317" w:lineRule="auto"/>
        <w:ind w:right="224" w:firstLine="652" w:firstLineChars="200"/>
        <w:rPr>
          <w:rFonts w:hint="default" w:ascii="仿宋" w:hAnsi="仿宋" w:eastAsia="仿宋" w:cs="仿宋"/>
          <w:spacing w:val="3"/>
          <w:sz w:val="32"/>
          <w:szCs w:val="32"/>
        </w:rPr>
      </w:pPr>
      <w:r>
        <w:rPr>
          <w:rFonts w:hint="default" w:ascii="仿宋" w:hAnsi="仿宋" w:eastAsia="仿宋" w:cs="仿宋"/>
          <w:spacing w:val="3"/>
          <w:sz w:val="32"/>
          <w:szCs w:val="32"/>
        </w:rPr>
        <w:t>院属各部门及战略合作单位：</w:t>
      </w:r>
    </w:p>
    <w:p>
      <w:pPr>
        <w:spacing w:before="207" w:line="317" w:lineRule="auto"/>
        <w:ind w:right="224" w:firstLine="652" w:firstLineChars="200"/>
        <w:rPr>
          <w:rFonts w:hint="default" w:ascii="仿宋" w:hAnsi="仿宋" w:eastAsia="仿宋" w:cs="仿宋"/>
          <w:spacing w:val="3"/>
          <w:sz w:val="32"/>
          <w:szCs w:val="32"/>
        </w:rPr>
      </w:pPr>
      <w:r>
        <w:rPr>
          <w:rFonts w:hint="default" w:ascii="仿宋" w:hAnsi="仿宋" w:eastAsia="仿宋" w:cs="仿宋"/>
          <w:spacing w:val="3"/>
          <w:sz w:val="32"/>
          <w:szCs w:val="32"/>
        </w:rPr>
        <w:t>为贯彻落实省委十三届三次全会精神，深入开展学习贯 彻习近平新时代中国特色社会主义思想主题教育，我院面向全院科研人员及战略合作单位开展专项课题申报工作。</w:t>
      </w:r>
    </w:p>
    <w:p>
      <w:pPr>
        <w:spacing w:before="158" w:line="222" w:lineRule="auto"/>
        <w:ind w:left="89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一、指导思想</w:t>
      </w:r>
    </w:p>
    <w:p>
      <w:pPr>
        <w:spacing w:before="207" w:line="317" w:lineRule="auto"/>
        <w:ind w:right="224" w:firstLine="652" w:firstLineChars="200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坚持以习近平新时代中国特色社会主义思想为指导，学 习贯彻党的二十大、二十届一中、二中全会精神和习近平总书记对贵州重要指示批示精神，以课题为抓手，整合全省社科研究领域研究力量和资源，深化对省委十三届三次全会精 神的研究阐释，着力推出一批高质量有影响的研究成果，更好服务经济兴、百姓富、生态美的多彩贵州现代化建设。</w:t>
      </w:r>
    </w:p>
    <w:p>
      <w:pPr>
        <w:spacing w:before="199" w:line="221" w:lineRule="auto"/>
        <w:ind w:left="7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二、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课题申报</w:t>
      </w:r>
    </w:p>
    <w:p>
      <w:pPr>
        <w:spacing w:before="181" w:line="224" w:lineRule="auto"/>
        <w:ind w:left="8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3"/>
          <w:sz w:val="31"/>
          <w:szCs w:val="31"/>
        </w:rPr>
        <w:t>一)申报条件</w:t>
      </w:r>
    </w:p>
    <w:p>
      <w:pPr>
        <w:spacing w:before="207" w:line="317" w:lineRule="auto"/>
        <w:ind w:right="224" w:firstLine="652" w:firstLineChars="200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我院及战略合作单位科研工作者。</w:t>
      </w:r>
    </w:p>
    <w:p>
      <w:pPr>
        <w:spacing w:before="187" w:line="227" w:lineRule="auto"/>
        <w:ind w:left="8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</w:rPr>
        <w:t>(二)申报选题</w:t>
      </w:r>
    </w:p>
    <w:p>
      <w:pPr>
        <w:spacing w:before="207" w:line="317" w:lineRule="auto"/>
        <w:ind w:right="224" w:firstLine="652" w:firstLineChars="200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各单位及专家学者可根据课题指南申报(附件1)课题， 也可进一步细化参考选题或根据全会精神自行确定选题，鼓励聚焦“中国式现代化贵州实践”进行选题设计。</w:t>
      </w:r>
    </w:p>
    <w:p>
      <w:pPr>
        <w:spacing w:before="165" w:line="227" w:lineRule="auto"/>
        <w:ind w:left="8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(三)申报要求</w:t>
      </w:r>
    </w:p>
    <w:p>
      <w:pPr>
        <w:spacing w:before="207" w:line="317" w:lineRule="auto"/>
        <w:ind w:left="24" w:right="224" w:firstLine="649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申报人应严格遵守学术道德和科研诚信，如实填报申报材料，不得将内容相同或相近的课题同时申报不同科研项目。</w:t>
      </w:r>
    </w:p>
    <w:p>
      <w:pPr>
        <w:spacing w:before="177" w:line="227" w:lineRule="auto"/>
        <w:ind w:left="8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(四)申报材料</w:t>
      </w:r>
    </w:p>
    <w:p>
      <w:pPr>
        <w:spacing w:before="207" w:line="317" w:lineRule="auto"/>
        <w:ind w:left="24" w:right="224" w:firstLine="649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1.社科院申报人将填好的纸质版申请书(附件2)经各 部门负责同志盖章后报科研处。电子版申请书发至科研处邮箱 gzskykyc0163.com。</w:t>
      </w:r>
    </w:p>
    <w:p>
      <w:pPr>
        <w:spacing w:before="207" w:line="317" w:lineRule="auto"/>
        <w:ind w:left="24" w:right="224" w:firstLine="649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2.每个战略合作单位限报两项课题，纸质版申请书(附 件3)加盖单位科研管理部门公章后统一 邮寄至贵州省贵阳市南明区梭石巷19号贵州省社会科学院。电子版申请书统一发至科研处邮箱 gzskykyc0163.com。</w:t>
      </w:r>
    </w:p>
    <w:p>
      <w:pPr>
        <w:spacing w:before="202" w:line="578" w:lineRule="exact"/>
        <w:ind w:left="8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position w:val="19"/>
          <w:sz w:val="31"/>
          <w:szCs w:val="31"/>
        </w:rPr>
        <w:t>(五)申报材料受理时间</w:t>
      </w:r>
    </w:p>
    <w:p>
      <w:pPr>
        <w:ind w:firstLine="760" w:firstLineChars="200"/>
        <w:rPr>
          <w:rFonts w:ascii="仿宋" w:hAnsi="仿宋" w:eastAsia="仿宋" w:cs="仿宋"/>
          <w:spacing w:val="35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2023年8月30日前。</w:t>
      </w:r>
    </w:p>
    <w:p>
      <w:pPr>
        <w:spacing w:before="75" w:line="222" w:lineRule="auto"/>
        <w:ind w:firstLine="563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三、</w:t>
      </w:r>
      <w:r>
        <w:rPr>
          <w:rFonts w:ascii="黑体" w:hAnsi="黑体" w:eastAsia="黑体" w:cs="黑体"/>
          <w:spacing w:val="-7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立项管理</w:t>
      </w:r>
    </w:p>
    <w:p>
      <w:pPr>
        <w:spacing w:before="207" w:line="317" w:lineRule="auto"/>
        <w:ind w:left="24" w:right="224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本次专项课题拟设项目20——25项，其中重点课题立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项3—-5项，每项经费资助4万元；</w:t>
      </w:r>
      <w:r>
        <w:rPr>
          <w:rFonts w:ascii="仿宋" w:hAnsi="仿宋" w:eastAsia="仿宋" w:cs="仿宋"/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一般项目20项左右，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每项经费资助2万元。院长办公会及党委会同意</w:t>
      </w:r>
      <w:r>
        <w:rPr>
          <w:rFonts w:ascii="仿宋" w:hAnsi="仿宋" w:eastAsia="仿宋" w:cs="仿宋"/>
          <w:spacing w:val="2"/>
          <w:sz w:val="32"/>
          <w:szCs w:val="32"/>
        </w:rPr>
        <w:t>后公示立项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名单。课题立项后拨付50%经费，作为课题调研费用，经费</w:t>
      </w:r>
      <w:r>
        <w:rPr>
          <w:rFonts w:ascii="仿宋" w:hAnsi="仿宋" w:eastAsia="仿宋" w:cs="仿宋"/>
          <w:spacing w:val="-5"/>
          <w:sz w:val="32"/>
          <w:szCs w:val="32"/>
        </w:rPr>
        <w:t>报销时，须提供调研审批单和相关印证材料(如调研新闻等)</w:t>
      </w:r>
      <w:r>
        <w:rPr>
          <w:rFonts w:ascii="仿宋" w:hAnsi="仿宋" w:eastAsia="仿宋" w:cs="仿宋"/>
          <w:spacing w:val="-6"/>
          <w:sz w:val="32"/>
          <w:szCs w:val="32"/>
        </w:rPr>
        <w:t>。</w:t>
      </w:r>
    </w:p>
    <w:p>
      <w:pPr>
        <w:spacing w:before="177" w:line="221" w:lineRule="auto"/>
        <w:ind w:left="67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四、</w:t>
      </w:r>
      <w:r>
        <w:rPr>
          <w:rFonts w:ascii="黑体" w:hAnsi="黑体" w:eastAsia="黑体" w:cs="黑体"/>
          <w:spacing w:val="-9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课题结项</w:t>
      </w:r>
    </w:p>
    <w:p>
      <w:pPr>
        <w:spacing w:before="185" w:line="220" w:lineRule="auto"/>
        <w:ind w:left="8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1"/>
          <w:sz w:val="32"/>
          <w:szCs w:val="32"/>
        </w:rPr>
        <w:t>(一)成果形式</w:t>
      </w:r>
    </w:p>
    <w:p>
      <w:pPr>
        <w:spacing w:before="194" w:line="317" w:lineRule="auto"/>
        <w:ind w:left="24" w:right="221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研究成果包含：撰写研究报告(不少于2万字、查重率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不高于20%);形成5000字左右的精简版，择优以资政报告</w:t>
      </w:r>
      <w:r>
        <w:rPr>
          <w:rFonts w:ascii="仿宋" w:hAnsi="仿宋" w:eastAsia="仿宋" w:cs="仿宋"/>
          <w:spacing w:val="-5"/>
          <w:sz w:val="32"/>
          <w:szCs w:val="32"/>
        </w:rPr>
        <w:t>形式报送省领导及有关部门。</w:t>
      </w:r>
    </w:p>
    <w:p>
      <w:pPr>
        <w:spacing w:before="170" w:line="219" w:lineRule="auto"/>
        <w:ind w:left="8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8"/>
          <w:sz w:val="32"/>
          <w:szCs w:val="32"/>
        </w:rPr>
        <w:t>(二)完成时限</w:t>
      </w:r>
    </w:p>
    <w:p>
      <w:pPr>
        <w:spacing w:before="188" w:line="323" w:lineRule="auto"/>
        <w:ind w:left="24" w:right="207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重点项目研究时间为6个月，结项时间为2024年3月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30日；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一般项目研究时间为3个月，结项时间为202</w:t>
      </w:r>
      <w:r>
        <w:rPr>
          <w:rFonts w:ascii="仿宋" w:hAnsi="仿宋" w:eastAsia="仿宋" w:cs="仿宋"/>
          <w:spacing w:val="6"/>
          <w:sz w:val="32"/>
          <w:szCs w:val="32"/>
        </w:rPr>
        <w:t>3年11</w:t>
      </w:r>
      <w:r>
        <w:rPr>
          <w:rFonts w:ascii="仿宋" w:hAnsi="仿宋" w:eastAsia="仿宋" w:cs="仿宋"/>
          <w:spacing w:val="1"/>
          <w:sz w:val="32"/>
          <w:szCs w:val="32"/>
        </w:rPr>
        <w:t>月30日。如不按时提交成果，则按“撤项”处理。</w:t>
      </w:r>
    </w:p>
    <w:p>
      <w:pPr>
        <w:spacing w:before="169" w:line="220" w:lineRule="auto"/>
        <w:ind w:left="8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9"/>
          <w:sz w:val="32"/>
          <w:szCs w:val="32"/>
        </w:rPr>
        <w:t>(三)成果评审</w:t>
      </w:r>
    </w:p>
    <w:p>
      <w:pPr>
        <w:spacing w:before="190" w:line="318" w:lineRule="auto"/>
        <w:ind w:left="24" w:right="219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课题结项采取专家集中评审方式，课题成果经专家</w:t>
      </w:r>
      <w:r>
        <w:rPr>
          <w:rFonts w:ascii="仿宋" w:hAnsi="仿宋" w:eastAsia="仿宋" w:cs="仿宋"/>
          <w:spacing w:val="-3"/>
          <w:sz w:val="32"/>
          <w:szCs w:val="32"/>
        </w:rPr>
        <w:t>评审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通过后给予结项。课题结项为“良好及以上”结项</w:t>
      </w:r>
      <w:r>
        <w:rPr>
          <w:rFonts w:ascii="仿宋" w:hAnsi="仿宋" w:eastAsia="仿宋" w:cs="仿宋"/>
          <w:spacing w:val="-3"/>
          <w:sz w:val="32"/>
          <w:szCs w:val="32"/>
        </w:rPr>
        <w:t>拨付100%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剩余经费；结项为“合格”拨付50%剩余经费；结项为</w:t>
      </w:r>
      <w:r>
        <w:rPr>
          <w:rFonts w:ascii="仿宋" w:hAnsi="仿宋" w:eastAsia="仿宋" w:cs="仿宋"/>
          <w:spacing w:val="2"/>
          <w:sz w:val="32"/>
          <w:szCs w:val="32"/>
        </w:rPr>
        <w:t>“不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合格"不拨付剩余经费；课题撤项的，课题负责人将被记录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科研诚信系统。课题成果获省主要领导批示的，将</w:t>
      </w:r>
      <w:r>
        <w:rPr>
          <w:rFonts w:ascii="仿宋" w:hAnsi="仿宋" w:eastAsia="仿宋" w:cs="仿宋"/>
          <w:spacing w:val="-4"/>
          <w:sz w:val="32"/>
          <w:szCs w:val="32"/>
        </w:rPr>
        <w:t>按照有关</w:t>
      </w:r>
    </w:p>
    <w:p>
      <w:pPr>
        <w:spacing w:line="223" w:lineRule="auto"/>
        <w:ind w:left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规定给予后期资助。</w:t>
      </w:r>
    </w:p>
    <w:p>
      <w:pPr>
        <w:spacing w:before="196" w:line="220" w:lineRule="auto"/>
        <w:ind w:left="8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1"/>
          <w:sz w:val="32"/>
          <w:szCs w:val="32"/>
        </w:rPr>
        <w:t>(四)成果运用</w:t>
      </w:r>
    </w:p>
    <w:p>
      <w:pPr>
        <w:spacing w:before="194" w:line="219" w:lineRule="auto"/>
        <w:ind w:left="1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2"/>
          <w:szCs w:val="32"/>
        </w:rPr>
        <w:t>成果结项后将视为课题研究者与委托方(我院</w:t>
      </w:r>
      <w:r>
        <w:rPr>
          <w:rFonts w:ascii="仿宋" w:hAnsi="仿宋" w:eastAsia="仿宋" w:cs="仿宋"/>
          <w:spacing w:val="9"/>
          <w:sz w:val="32"/>
          <w:szCs w:val="32"/>
        </w:rPr>
        <w:t>)共同拥</w:t>
      </w:r>
      <w:r>
        <w:rPr>
          <w:rFonts w:ascii="仿宋" w:hAnsi="仿宋" w:eastAsia="仿宋" w:cs="仿宋"/>
          <w:spacing w:val="4"/>
          <w:sz w:val="31"/>
          <w:szCs w:val="31"/>
        </w:rPr>
        <w:t>有知识产权，将视情编辑成册出版发行。</w:t>
      </w:r>
    </w:p>
    <w:p>
      <w:pPr>
        <w:spacing w:before="181" w:line="221" w:lineRule="auto"/>
        <w:ind w:left="7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五、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联系方式</w:t>
      </w:r>
    </w:p>
    <w:p>
      <w:pPr>
        <w:spacing w:before="201" w:line="563" w:lineRule="exact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联系地址：贵州省社会科学院行政楼503室。</w:t>
      </w:r>
    </w:p>
    <w:p>
      <w:pPr>
        <w:spacing w:line="223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联系人：戈弋，13608517123。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2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附件：1.选题指南</w:t>
      </w:r>
    </w:p>
    <w:p>
      <w:pPr>
        <w:spacing w:before="197" w:line="338" w:lineRule="auto"/>
        <w:ind w:left="1974" w:hanging="3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2.贵州省社会科学院“学习贯彻省委十三届三次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全会精神暨‘中国式现代化贵州实践研究’”</w:t>
      </w:r>
      <w:r>
        <w:rPr>
          <w:rFonts w:ascii="仿宋" w:hAnsi="仿宋" w:eastAsia="仿宋" w:cs="仿宋"/>
          <w:spacing w:val="27"/>
          <w:sz w:val="31"/>
          <w:szCs w:val="31"/>
        </w:rPr>
        <w:t>专项课题申请表(院内)</w:t>
      </w:r>
    </w:p>
    <w:p>
      <w:pPr>
        <w:spacing w:before="204" w:line="570" w:lineRule="exact"/>
        <w:ind w:right="16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3.贵州省社会科学院“学习贯彻省委十三届三次</w:t>
      </w:r>
    </w:p>
    <w:p>
      <w:pPr>
        <w:spacing w:line="222" w:lineRule="auto"/>
        <w:ind w:right="2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全会精神暨‘中国式现代化贵州实践研究’”</w:t>
      </w:r>
    </w:p>
    <w:p>
      <w:pPr>
        <w:spacing w:before="194" w:line="220" w:lineRule="auto"/>
        <w:ind w:left="1975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2332990</wp:posOffset>
            </wp:positionH>
            <wp:positionV relativeFrom="paragraph">
              <wp:posOffset>295910</wp:posOffset>
            </wp:positionV>
            <wp:extent cx="1638300" cy="1631950"/>
            <wp:effectExtent l="0" t="0" r="12700" b="254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8324" cy="163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27"/>
          <w:sz w:val="31"/>
          <w:szCs w:val="31"/>
        </w:rPr>
        <w:t>专项课题申请表(院外)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2" w:lineRule="auto"/>
        <w:ind w:left="38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贵州省社会科学院</w:t>
      </w:r>
    </w:p>
    <w:p>
      <w:pPr>
        <w:spacing w:before="197" w:line="222" w:lineRule="auto"/>
        <w:ind w:left="38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3"/>
          <w:sz w:val="31"/>
          <w:szCs w:val="31"/>
        </w:rPr>
        <w:t>2023年8月24日</w:t>
      </w:r>
    </w:p>
    <w:p>
      <w:pPr>
        <w:sectPr>
          <w:footerReference r:id="rId5" w:type="default"/>
          <w:pgSz w:w="11900" w:h="16840"/>
          <w:pgMar w:top="1431" w:right="1657" w:bottom="1627" w:left="1785" w:header="0" w:footer="1320" w:gutter="0"/>
          <w:cols w:space="720" w:num="1"/>
        </w:sectPr>
      </w:pPr>
    </w:p>
    <w:p>
      <w:pPr>
        <w:spacing w:before="105" w:line="224" w:lineRule="auto"/>
        <w:ind w:left="1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9"/>
          <w:sz w:val="33"/>
          <w:szCs w:val="33"/>
        </w:rPr>
        <w:t>附件1: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150" w:line="221" w:lineRule="auto"/>
        <w:ind w:left="337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5"/>
          <w:sz w:val="46"/>
          <w:szCs w:val="46"/>
        </w:rPr>
        <w:t>选题指南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8" w:line="222" w:lineRule="auto"/>
        <w:ind w:left="75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一、重点项目选题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1.中国式现代化贵州实践的中长期发展战略研究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2.中国式现代化贵州实践“三者”发展定位的实现路径研究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3.中国式现代化贵州实践“五期”方位阶段性特征研究</w:t>
      </w:r>
    </w:p>
    <w:p>
      <w:pPr>
        <w:spacing w:before="166" w:line="221" w:lineRule="auto"/>
        <w:ind w:left="75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二、一般项目选题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4.中国式现代化贵州实践的人口高质量发展研究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5.中国式现代化贵州实践的共同富裕研究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6.中国式现代化贵州实践的物质文明和精神文明相协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调研究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7.中国式现代化贵州实践的人与自然和谐共生研究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8.中国式现代化贵州实践的开放发展路径研究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9.贵阳贵安率先基本实现社会主义现代化的路径研究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10.乡村振兴重点帮扶县现代化建设路径研究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11.中国式现代化贵州实践的重大标识性概念研究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12.中国式现代化贵州实践的底线任务与首要任务的辩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证关系研究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13.贵州推进教育现代化若干问题研究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14.贵州高校学科优化设置与产业链关联度研究</w:t>
      </w:r>
    </w:p>
    <w:p>
      <w:pPr>
        <w:spacing w:before="102" w:line="219" w:lineRule="auto"/>
        <w:ind w:firstLine="64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15.贵州推进产业转型省级示范区路径研究</w:t>
      </w:r>
    </w:p>
    <w:p>
      <w:pPr>
        <w:spacing w:before="179" w:line="548" w:lineRule="exact"/>
        <w:ind w:left="664"/>
        <w:rPr>
          <w:rFonts w:ascii="仿宋" w:hAnsi="仿宋" w:eastAsia="仿宋" w:cs="仿宋"/>
          <w:spacing w:val="6"/>
          <w:position w:val="17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16.贵州建设“世界级旅游目的地”相关问题研究</w:t>
      </w:r>
    </w:p>
    <w:p>
      <w:pPr>
        <w:spacing w:before="179" w:line="548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17.贵州再生资源循环利用的政策设计研究</w:t>
      </w:r>
    </w:p>
    <w:p>
      <w:pPr>
        <w:spacing w:before="1" w:line="221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18.有效盘活贵州闲置低效扶贫资产研究</w:t>
      </w:r>
    </w:p>
    <w:p>
      <w:pPr>
        <w:spacing w:before="179" w:line="550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19.贵州学习借鉴“千万工程”的路径研究</w:t>
      </w:r>
    </w:p>
    <w:p>
      <w:pPr>
        <w:spacing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20.贵州学习借鉴“浦江经验”的路径研究</w:t>
      </w:r>
    </w:p>
    <w:p>
      <w:pPr>
        <w:spacing w:before="177"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21.推进“富矿精开精用”路径研究</w:t>
      </w:r>
    </w:p>
    <w:p>
      <w:pPr>
        <w:spacing w:before="174" w:line="221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22.我省新型集体经济发展路径研究</w:t>
      </w:r>
    </w:p>
    <w:p>
      <w:pPr>
        <w:spacing w:before="181" w:line="550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23.我省区域医疗中心建设若干问题研究</w:t>
      </w:r>
    </w:p>
    <w:p>
      <w:pPr>
        <w:spacing w:before="1"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24.我省公共数据确权交易的瓶颈问题研究</w:t>
      </w:r>
    </w:p>
    <w:p>
      <w:pPr>
        <w:spacing w:before="175" w:line="550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7"/>
          <w:sz w:val="31"/>
          <w:szCs w:val="31"/>
        </w:rPr>
        <w:t>25.多彩贵州民族文化与建设中华民族现代文明研究</w:t>
      </w:r>
    </w:p>
    <w:p>
      <w:pPr>
        <w:spacing w:before="1" w:line="221" w:lineRule="auto"/>
        <w:ind w:left="664"/>
        <w:rPr>
          <w:rFonts w:hint="eastAsia" w:eastAsia="仿宋"/>
          <w:lang w:val="en-US" w:eastAsia="zh-CN"/>
        </w:rPr>
        <w:sectPr>
          <w:footerReference r:id="rId6" w:type="default"/>
          <w:pgSz w:w="11900" w:h="16840"/>
          <w:pgMar w:top="1431" w:right="1785" w:bottom="1697" w:left="1785" w:header="0" w:footer="1390" w:gutter="0"/>
          <w:cols w:space="720" w:num="1"/>
        </w:sectPr>
      </w:pPr>
      <w:r>
        <w:rPr>
          <w:rFonts w:ascii="仿宋" w:hAnsi="仿宋" w:eastAsia="仿宋" w:cs="仿宋"/>
          <w:spacing w:val="6"/>
          <w:sz w:val="31"/>
          <w:szCs w:val="31"/>
        </w:rPr>
        <w:t>26.贵州生态特色产品价值实现机制与路径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研究</w:t>
      </w:r>
    </w:p>
    <w:p>
      <w:pPr>
        <w:spacing w:before="130" w:line="224" w:lineRule="auto"/>
        <w:ind w:left="139"/>
        <w:rPr>
          <w:rFonts w:ascii="黑体" w:hAnsi="黑体" w:eastAsia="黑体" w:cs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3556000</wp:posOffset>
                </wp:positionH>
                <wp:positionV relativeFrom="page">
                  <wp:posOffset>9692005</wp:posOffset>
                </wp:positionV>
                <wp:extent cx="410845" cy="1549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03" w:lineRule="exact"/>
                              <w:ind w:left="20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3"/>
                                <w:w w:val="83"/>
                                <w:position w:val="-5"/>
                                <w:sz w:val="30"/>
                                <w:szCs w:val="3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-17"/>
                                <w:position w:val="-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w w:val="83"/>
                                <w:position w:val="-5"/>
                                <w:sz w:val="30"/>
                                <w:szCs w:val="30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pt;margin-top:763.15pt;height:12.2pt;width:32.3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vm3TaAAAADQEAAA8AAAAAAAAAAQAgAAAAIgAAAGRycy9kb3ducmV2LnhtbFBL&#10;AQIUABQAAAAIAIdO4kDAEPMvuwEAAHE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3" w:lineRule="exact"/>
                        <w:ind w:left="20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3"/>
                          <w:w w:val="83"/>
                          <w:position w:val="-5"/>
                          <w:sz w:val="30"/>
                          <w:szCs w:val="3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-17"/>
                          <w:position w:val="-5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3"/>
                          <w:w w:val="83"/>
                          <w:position w:val="-5"/>
                          <w:sz w:val="30"/>
                          <w:szCs w:val="3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30"/>
          <w:sz w:val="30"/>
          <w:szCs w:val="30"/>
          <w:lang w:val="en-US" w:eastAsia="zh-CN"/>
        </w:rPr>
        <w:t>2</w:t>
      </w:r>
      <w:r>
        <w:rPr>
          <w:rFonts w:ascii="黑体" w:hAnsi="黑体" w:eastAsia="黑体" w:cs="黑体"/>
          <w:b/>
          <w:bCs/>
          <w:spacing w:val="30"/>
          <w:sz w:val="30"/>
          <w:szCs w:val="30"/>
        </w:rPr>
        <w:t>:</w:t>
      </w:r>
    </w:p>
    <w:p>
      <w:pPr>
        <w:spacing w:line="449" w:lineRule="auto"/>
        <w:rPr>
          <w:rFonts w:ascii="Arial"/>
          <w:sz w:val="21"/>
        </w:rPr>
      </w:pPr>
    </w:p>
    <w:p>
      <w:pPr>
        <w:spacing w:before="98" w:line="222" w:lineRule="auto"/>
        <w:ind w:left="1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9"/>
          <w:sz w:val="30"/>
          <w:szCs w:val="30"/>
        </w:rPr>
        <w:t>贵州省社会科学院“学习贯彻省委十三届三次全会精神暨‘中国</w:t>
      </w:r>
    </w:p>
    <w:p>
      <w:pPr>
        <w:spacing w:before="215" w:line="220" w:lineRule="auto"/>
        <w:ind w:left="9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式现代化贵州实践研究’”专项课题申请表(院外)</w:t>
      </w:r>
    </w:p>
    <w:p>
      <w:pPr>
        <w:spacing w:line="135" w:lineRule="exact"/>
      </w:pPr>
    </w:p>
    <w:tbl>
      <w:tblPr>
        <w:tblStyle w:val="4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2757"/>
        <w:gridCol w:w="1268"/>
        <w:gridCol w:w="2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3" w:type="dxa"/>
            <w:vAlign w:val="top"/>
          </w:tcPr>
          <w:p>
            <w:pPr>
              <w:spacing w:before="196" w:line="221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课题名称</w:t>
            </w:r>
          </w:p>
        </w:tc>
        <w:tc>
          <w:tcPr>
            <w:tcW w:w="69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3" w:type="dxa"/>
            <w:vAlign w:val="top"/>
          </w:tcPr>
          <w:p>
            <w:pPr>
              <w:spacing w:before="190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申报者姓名</w:t>
            </w: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90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所在部门</w:t>
            </w:r>
          </w:p>
        </w:tc>
        <w:tc>
          <w:tcPr>
            <w:tcW w:w="2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3" w:type="dxa"/>
            <w:vAlign w:val="top"/>
          </w:tcPr>
          <w:p>
            <w:pPr>
              <w:spacing w:before="191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职务、职称</w:t>
            </w:r>
          </w:p>
        </w:tc>
        <w:tc>
          <w:tcPr>
            <w:tcW w:w="2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95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469" w:type="dxa"/>
            <w:gridSpan w:val="4"/>
            <w:vAlign w:val="top"/>
          </w:tcPr>
          <w:p>
            <w:pPr>
              <w:spacing w:before="107" w:line="219" w:lineRule="auto"/>
              <w:ind w:left="37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4"/>
                <w:szCs w:val="24"/>
              </w:rPr>
              <w:t>研究框架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6" w:hRule="atLeast"/>
        </w:trPr>
        <w:tc>
          <w:tcPr>
            <w:tcW w:w="8469" w:type="dxa"/>
            <w:gridSpan w:val="4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-5311140</wp:posOffset>
                  </wp:positionH>
                  <wp:positionV relativeFrom="topMargin">
                    <wp:posOffset>142240</wp:posOffset>
                  </wp:positionV>
                  <wp:extent cx="1463675" cy="152400"/>
                  <wp:effectExtent l="0" t="0" r="5715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421" cy="15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78" w:line="122" w:lineRule="exact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"/>
                <w:sz w:val="24"/>
                <w:szCs w:val="24"/>
              </w:rPr>
              <w:t>、</w:t>
            </w:r>
          </w:p>
          <w:p>
            <w:pPr>
              <w:spacing w:before="92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(用一段话概括该部分的主要研究设想，列出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二级标题则更好)</w:t>
            </w:r>
          </w:p>
          <w:p>
            <w:pPr>
              <w:spacing w:before="187" w:line="235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二、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………………</w:t>
            </w:r>
          </w:p>
          <w:p>
            <w:pPr>
              <w:spacing w:before="82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(用一段话概括该部分的主要研究设想，列出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二级标题则更好)</w:t>
            </w:r>
          </w:p>
          <w:p>
            <w:pPr>
              <w:spacing w:before="207" w:line="235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三、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………</w:t>
            </w:r>
          </w:p>
          <w:p>
            <w:pPr>
              <w:spacing w:before="72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(用一段话概括该部分的主要研究设想，列出二级标题则更好)</w:t>
            </w:r>
          </w:p>
          <w:p>
            <w:pPr>
              <w:spacing w:before="180" w:line="222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四、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……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……</w:t>
            </w:r>
          </w:p>
          <w:p>
            <w:pPr>
              <w:spacing w:before="126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(用一段话概括该部分的主要研究设想，列出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二级标题则更好)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8469" w:type="dxa"/>
            <w:gridSpan w:val="4"/>
            <w:vAlign w:val="top"/>
          </w:tcPr>
          <w:p>
            <w:pPr>
              <w:spacing w:before="78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战略合作单位科研管理部门意见：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ind w:firstLine="1050" w:firstLineChars="500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spacing w:before="78" w:line="219" w:lineRule="auto"/>
              <w:ind w:firstLine="508" w:firstLineChars="200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同意申报。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339" w:lineRule="exact"/>
              <w:ind w:left="3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position w:val="7"/>
                <w:sz w:val="24"/>
                <w:szCs w:val="24"/>
              </w:rPr>
              <w:t>负责人签名：</w:t>
            </w:r>
          </w:p>
          <w:p>
            <w:pPr>
              <w:spacing w:before="78" w:line="339" w:lineRule="exact"/>
              <w:ind w:left="3984"/>
              <w:rPr>
                <w:rFonts w:ascii="宋体" w:hAnsi="宋体" w:eastAsia="宋体" w:cs="宋体"/>
                <w:spacing w:val="19"/>
                <w:position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position w:val="7"/>
                <w:sz w:val="24"/>
                <w:szCs w:val="24"/>
              </w:rPr>
              <w:t>盖      章：</w:t>
            </w:r>
          </w:p>
          <w:p>
            <w:pPr>
              <w:spacing w:before="78" w:line="339" w:lineRule="exact"/>
              <w:ind w:left="39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position w:val="7"/>
                <w:sz w:val="24"/>
                <w:szCs w:val="24"/>
              </w:rPr>
              <w:t xml:space="preserve">时  </w:t>
            </w:r>
            <w:r>
              <w:rPr>
                <w:rFonts w:hint="eastAsia" w:ascii="宋体" w:hAnsi="宋体" w:eastAsia="宋体" w:cs="宋体"/>
                <w:spacing w:val="19"/>
                <w:position w:val="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19"/>
                <w:position w:val="7"/>
                <w:sz w:val="24"/>
                <w:szCs w:val="24"/>
              </w:rPr>
              <w:t>间：</w:t>
            </w:r>
            <w:r>
              <w:rPr>
                <w:rFonts w:hint="eastAsia" w:ascii="宋体" w:hAnsi="宋体" w:eastAsia="宋体" w:cs="宋体"/>
                <w:spacing w:val="19"/>
                <w:position w:val="7"/>
                <w:sz w:val="24"/>
                <w:szCs w:val="24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spacing w:val="19"/>
                <w:position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9"/>
                <w:position w:val="7"/>
                <w:sz w:val="24"/>
                <w:szCs w:val="24"/>
                <w:lang w:val="en-US" w:eastAsia="zh-CN"/>
              </w:rPr>
              <w:t xml:space="preserve"> 8 </w:t>
            </w:r>
            <w:r>
              <w:rPr>
                <w:rFonts w:ascii="宋体" w:hAnsi="宋体" w:eastAsia="宋体" w:cs="宋体"/>
                <w:spacing w:val="19"/>
                <w:position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9"/>
                <w:position w:val="7"/>
                <w:sz w:val="24"/>
                <w:szCs w:val="24"/>
                <w:lang w:val="en-US" w:eastAsia="zh-CN"/>
              </w:rPr>
              <w:t xml:space="preserve"> 28 </w:t>
            </w:r>
            <w:r>
              <w:rPr>
                <w:rFonts w:ascii="宋体" w:hAnsi="宋体" w:eastAsia="宋体" w:cs="宋体"/>
                <w:spacing w:val="19"/>
                <w:position w:val="7"/>
                <w:sz w:val="24"/>
                <w:szCs w:val="24"/>
              </w:rPr>
              <w:t>日</w:t>
            </w:r>
          </w:p>
        </w:tc>
      </w:tr>
    </w:tbl>
    <w:p>
      <w:pPr>
        <w:spacing w:before="143" w:line="219" w:lineRule="auto"/>
        <w:ind w:left="5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注：本表若不够填写，请自行扩充。</w:t>
      </w:r>
    </w:p>
    <w:p/>
    <w:p>
      <w:pPr>
        <w:spacing w:line="148" w:lineRule="exact"/>
      </w:pPr>
    </w:p>
    <w:p>
      <w:pPr>
        <w:spacing w:line="195" w:lineRule="exact"/>
        <w:rPr>
          <w:rFonts w:ascii="Arial"/>
          <w:sz w:val="16"/>
        </w:rPr>
      </w:pPr>
    </w:p>
    <w:p/>
    <w:p>
      <w:pPr>
        <w:ind w:firstLine="760" w:firstLineChars="200"/>
        <w:rPr>
          <w:rFonts w:ascii="仿宋" w:hAnsi="仿宋" w:eastAsia="仿宋" w:cs="仿宋"/>
          <w:spacing w:val="35"/>
          <w:sz w:val="31"/>
          <w:szCs w:val="31"/>
        </w:rPr>
      </w:pPr>
      <w:bookmarkStart w:id="0" w:name="_GoBack"/>
      <w:bookmarkEnd w:id="0"/>
    </w:p>
    <w:sectPr>
      <w:footerReference r:id="rId7" w:type="default"/>
      <w:pgSz w:w="11900" w:h="16840"/>
      <w:pgMar w:top="1431" w:right="1695" w:bottom="1650" w:left="1725" w:header="0" w:footer="13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81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6"/>
        <w:w w:val="92"/>
        <w:sz w:val="31"/>
        <w:szCs w:val="31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8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zIyMmQ4ZTA0NjFiYmIzMzhhYjNlYjY1YjY2ODQifQ=="/>
  </w:docVars>
  <w:rsids>
    <w:rsidRoot w:val="00000000"/>
    <w:rsid w:val="79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2023-08-25T08:59:43Z</dcterms:created>
  <dc:creator>Administrator</dc:creator>
  <cp:lastModifiedBy>李倩倩</cp:lastModifiedBy>
  <dcterms:modified xsi:type="dcterms:W3CDTF">2023-08-25T09:01:15Z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DE86F545EB274D06B9664564C54217D9_12</vt:lpwstr>
  </property>
</Properties>
</file>